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884E7" w14:textId="534EDC33" w:rsidR="00F0204E" w:rsidRDefault="00F0204E" w:rsidP="00F0204E">
      <w:pPr>
        <w:tabs>
          <w:tab w:val="left" w:pos="7470"/>
        </w:tabs>
        <w:rPr>
          <w:rFonts w:ascii="Century Gothic" w:hAnsi="Century Gothic" w:cs="Arial"/>
          <w:lang w:val="es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4EFEC0" wp14:editId="52D8F58A">
            <wp:simplePos x="0" y="0"/>
            <wp:positionH relativeFrom="column">
              <wp:posOffset>4325620</wp:posOffset>
            </wp:positionH>
            <wp:positionV relativeFrom="paragraph">
              <wp:posOffset>171450</wp:posOffset>
            </wp:positionV>
            <wp:extent cx="1804035" cy="1355090"/>
            <wp:effectExtent l="114300" t="171450" r="100965" b="168910"/>
            <wp:wrapSquare wrapText="bothSides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70864">
                      <a:off x="0" y="0"/>
                      <a:ext cx="1804035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BF72F3" w14:textId="1B1016FE" w:rsidR="00F0204E" w:rsidRDefault="00F0204E" w:rsidP="00F0204E">
      <w:pPr>
        <w:tabs>
          <w:tab w:val="left" w:pos="7470"/>
        </w:tabs>
        <w:rPr>
          <w:rFonts w:ascii="Century Gothic" w:hAnsi="Century Gothic" w:cs="Arial"/>
          <w:lang w:val="es-US"/>
        </w:rPr>
      </w:pPr>
    </w:p>
    <w:p w14:paraId="2AA9B6BC" w14:textId="52B02AC5" w:rsidR="00F0204E" w:rsidRDefault="00F0204E" w:rsidP="00F0204E">
      <w:pPr>
        <w:pStyle w:val="NormalWeb"/>
        <w:ind w:right="-270"/>
        <w:rPr>
          <w:rFonts w:ascii="Century Gothic" w:hAnsi="Century Gothic" w:cs="Segoe UI"/>
          <w:b/>
          <w:bCs/>
          <w:color w:val="182126"/>
          <w:shd w:val="clear" w:color="auto" w:fill="FFFFFF"/>
          <w:lang w:val="es-US"/>
        </w:rPr>
      </w:pPr>
      <w:r>
        <w:rPr>
          <w:rFonts w:ascii="Century Gothic" w:hAnsi="Century Gothic"/>
          <w:b/>
          <w:bCs/>
          <w:lang w:val="es-US"/>
        </w:rPr>
        <w:t>La Semana de Acción de Vacunación de Adolescentes</w:t>
      </w:r>
      <w:r>
        <w:rPr>
          <w:rFonts w:ascii="Century Gothic" w:hAnsi="Century Gothic" w:cs="Segoe UI"/>
          <w:b/>
          <w:bCs/>
          <w:color w:val="182126"/>
          <w:shd w:val="clear" w:color="auto" w:fill="FFFFFF"/>
          <w:lang w:val="es-US"/>
        </w:rPr>
        <w:t xml:space="preserve"> </w:t>
      </w:r>
    </w:p>
    <w:p w14:paraId="22A3B999" w14:textId="1577DE40" w:rsidR="00F0204E" w:rsidRPr="00F0204E" w:rsidRDefault="00F0204E" w:rsidP="00F0204E">
      <w:pPr>
        <w:pStyle w:val="NormalWeb"/>
        <w:rPr>
          <w:rFonts w:ascii="Century Gothic" w:hAnsi="Century Gothic" w:cs="Arial"/>
          <w:b/>
          <w:color w:val="000000"/>
          <w:lang w:val="es-US"/>
        </w:rPr>
      </w:pPr>
      <w:r>
        <w:rPr>
          <w:rFonts w:ascii="Century Gothic" w:hAnsi="Century Gothic" w:cs="Arial"/>
          <w:b/>
          <w:color w:val="00B0F0"/>
          <w:lang w:val="es-US"/>
        </w:rPr>
        <w:t>Ejemplo de contenido de boletín informativo para audiencias de profesionales de la salud</w:t>
      </w:r>
    </w:p>
    <w:p w14:paraId="4F4D6949" w14:textId="77777777" w:rsidR="00F0204E" w:rsidRDefault="00F0204E" w:rsidP="00F0204E">
      <w:pPr>
        <w:pStyle w:val="NormalWeb"/>
        <w:jc w:val="center"/>
        <w:rPr>
          <w:rFonts w:ascii="Century Gothic" w:hAnsi="Century Gothic"/>
          <w:i/>
          <w:iCs/>
          <w:lang w:val="es-US"/>
        </w:rPr>
      </w:pPr>
    </w:p>
    <w:p w14:paraId="5D82E707" w14:textId="47CE4582" w:rsidR="00F0204E" w:rsidRPr="00F0204E" w:rsidRDefault="00F0204E" w:rsidP="00F0204E">
      <w:pPr>
        <w:pStyle w:val="NormalWeb"/>
        <w:jc w:val="center"/>
        <w:rPr>
          <w:rFonts w:ascii="Century Gothic" w:hAnsi="Century Gothic" w:cs="Arial"/>
          <w:color w:val="000000"/>
          <w:lang w:val="es-US"/>
        </w:rPr>
      </w:pPr>
      <w:r>
        <w:rPr>
          <w:rFonts w:ascii="Century Gothic" w:hAnsi="Century Gothic"/>
          <w:i/>
          <w:iCs/>
          <w:lang w:val="es-US"/>
        </w:rPr>
        <w:t>Usa o adapta este contenido de noticias de muestra para difundir información sobre AIAW en tu red a través de boletines, correos electrónicos, blogs u otros canales de comunicación</w:t>
      </w:r>
      <w:r>
        <w:rPr>
          <w:rFonts w:ascii="Century Gothic" w:hAnsi="Century Gothic" w:cs="Arial"/>
          <w:color w:val="000000"/>
          <w:lang w:val="es-US"/>
        </w:rPr>
        <w:t xml:space="preserve"> </w:t>
      </w:r>
    </w:p>
    <w:p w14:paraId="01E5EBC3" w14:textId="77777777" w:rsidR="00F0204E" w:rsidRDefault="00F0204E" w:rsidP="00F0204E">
      <w:pPr>
        <w:pStyle w:val="NormalWeb"/>
        <w:jc w:val="center"/>
        <w:rPr>
          <w:rFonts w:ascii="Century Gothic" w:hAnsi="Century Gothic"/>
          <w:b/>
          <w:bCs/>
          <w:lang w:val="es-US"/>
        </w:rPr>
      </w:pPr>
      <w:r>
        <w:rPr>
          <w:rFonts w:ascii="Century Gothic" w:hAnsi="Century Gothic"/>
          <w:b/>
          <w:bCs/>
          <w:lang w:val="es-US"/>
        </w:rPr>
        <w:t xml:space="preserve">La Semana de Acción de Vacunación de Adolescentes se prepara </w:t>
      </w:r>
    </w:p>
    <w:p w14:paraId="6C9240C0" w14:textId="77777777" w:rsidR="00F0204E" w:rsidRDefault="00F0204E" w:rsidP="00F0204E">
      <w:pPr>
        <w:pStyle w:val="NormalWeb"/>
        <w:jc w:val="center"/>
        <w:rPr>
          <w:rFonts w:ascii="Century Gothic" w:hAnsi="Century Gothic" w:cs="Segoe UI"/>
          <w:b/>
          <w:bCs/>
          <w:color w:val="182126"/>
          <w:shd w:val="clear" w:color="auto" w:fill="FFFFFF"/>
          <w:lang w:val="es-US"/>
        </w:rPr>
      </w:pPr>
      <w:r>
        <w:rPr>
          <w:rFonts w:ascii="Century Gothic" w:hAnsi="Century Gothic"/>
          <w:b/>
          <w:bCs/>
          <w:lang w:val="es-US"/>
        </w:rPr>
        <w:t>para lograr poner a los adolescentes al día con las vacunas</w:t>
      </w:r>
      <w:r>
        <w:rPr>
          <w:rFonts w:ascii="Century Gothic" w:hAnsi="Century Gothic" w:cs="Segoe UI"/>
          <w:b/>
          <w:bCs/>
          <w:color w:val="182126"/>
          <w:shd w:val="clear" w:color="auto" w:fill="FFFFFF"/>
          <w:lang w:val="es-US"/>
        </w:rPr>
        <w:t xml:space="preserve"> </w:t>
      </w:r>
    </w:p>
    <w:p w14:paraId="41CAE656" w14:textId="77777777" w:rsidR="00F0204E" w:rsidRPr="00F0204E" w:rsidRDefault="00F0204E" w:rsidP="00F0204E">
      <w:pPr>
        <w:ind w:left="270"/>
        <w:rPr>
          <w:rStyle w:val="Hyperlink"/>
          <w:rFonts w:cs="Arial"/>
          <w:lang w:val="fr-FR"/>
        </w:rPr>
      </w:pPr>
      <w:r>
        <w:rPr>
          <w:rFonts w:ascii="Century Gothic" w:hAnsi="Century Gothic"/>
          <w:lang w:val="es-US"/>
        </w:rPr>
        <w:t xml:space="preserve">Del 4 al 8 de abril es la primera Semana Nacional de Acción de Vacunación Anual de Adolescentes </w:t>
      </w:r>
      <w:r>
        <w:rPr>
          <w:rFonts w:ascii="Century Gothic" w:hAnsi="Century Gothic" w:cs="Arial"/>
          <w:lang w:val="es-US"/>
        </w:rPr>
        <w:t xml:space="preserve">(#AIAW22). </w:t>
      </w:r>
      <w:hyperlink r:id="rId6" w:history="1">
        <w:r>
          <w:rPr>
            <w:rStyle w:val="Hyperlink"/>
            <w:rFonts w:ascii="Century Gothic" w:hAnsi="Century Gothic" w:cs="Arial"/>
            <w:lang w:val="es-US"/>
          </w:rPr>
          <w:t xml:space="preserve">Unity® </w:t>
        </w:r>
        <w:proofErr w:type="spellStart"/>
        <w:r>
          <w:rPr>
            <w:rStyle w:val="Hyperlink"/>
            <w:rFonts w:ascii="Century Gothic" w:hAnsi="Century Gothic" w:cs="Arial"/>
            <w:lang w:val="es-US"/>
          </w:rPr>
          <w:t>Consortium</w:t>
        </w:r>
        <w:proofErr w:type="spellEnd"/>
      </w:hyperlink>
      <w:r>
        <w:rPr>
          <w:rStyle w:val="Hyperlink"/>
          <w:rFonts w:ascii="Century Gothic" w:hAnsi="Century Gothic" w:cs="Arial"/>
          <w:lang w:val="es-US"/>
        </w:rPr>
        <w:t xml:space="preserve"> lanzó esta iniciativa para llamar la atención sobre la importancia de la inmunización de los adolescentes y para instar a los proveedores de atención médica y a los padres a actualizar a los adolescentes con las vacunas recomendadas. </w:t>
      </w:r>
    </w:p>
    <w:p w14:paraId="1FF340E5" w14:textId="77777777" w:rsidR="00F0204E" w:rsidRPr="00F0204E" w:rsidRDefault="00F0204E" w:rsidP="00F0204E">
      <w:pPr>
        <w:ind w:left="270" w:right="180"/>
        <w:rPr>
          <w:lang w:val="fr-FR"/>
        </w:rPr>
      </w:pPr>
      <w:r>
        <w:rPr>
          <w:rFonts w:ascii="Century Gothic" w:hAnsi="Century Gothic"/>
          <w:lang w:val="es-US"/>
        </w:rPr>
        <w:t>Durante AIAW22, compartiremos información y recursos a través de nuestros canales de comunicación y esperaremos que tú también lo hagas. La investigación ha demostrado consistentemente que los profesionales de la salud son la fuente más confiable e influyente de información para los padres sobre las vacunas</w:t>
      </w:r>
      <w:r>
        <w:rPr>
          <w:rFonts w:ascii="Century Gothic" w:hAnsi="Century Gothic" w:cs="Arial"/>
          <w:lang w:val="es-US"/>
        </w:rPr>
        <w:t xml:space="preserve">. </w:t>
      </w:r>
    </w:p>
    <w:p w14:paraId="520D47E3" w14:textId="77777777" w:rsidR="00F0204E" w:rsidRDefault="00F0204E" w:rsidP="00F0204E">
      <w:pPr>
        <w:ind w:left="270" w:right="180"/>
        <w:rPr>
          <w:rFonts w:ascii="Century Gothic" w:hAnsi="Century Gothic" w:cs="Arial"/>
          <w:lang w:val="es-US"/>
        </w:rPr>
      </w:pPr>
      <w:r>
        <w:rPr>
          <w:rFonts w:ascii="Century Gothic" w:hAnsi="Century Gothic"/>
          <w:lang w:val="es-US"/>
        </w:rPr>
        <w:t xml:space="preserve">Visita </w:t>
      </w:r>
      <w:r>
        <w:rPr>
          <w:rFonts w:ascii="Century Gothic" w:hAnsi="Century Gothic"/>
          <w:color w:val="4472C4" w:themeColor="accent1"/>
          <w:u w:val="single"/>
          <w:lang w:val="es-US"/>
        </w:rPr>
        <w:t>la página de la campaña</w:t>
      </w:r>
      <w:r>
        <w:rPr>
          <w:rFonts w:ascii="Century Gothic" w:hAnsi="Century Gothic"/>
          <w:color w:val="4472C4" w:themeColor="accent1"/>
          <w:lang w:val="es-US"/>
        </w:rPr>
        <w:t xml:space="preserve"> </w:t>
      </w:r>
      <w:r>
        <w:rPr>
          <w:rFonts w:ascii="Century Gothic" w:hAnsi="Century Gothic"/>
          <w:lang w:val="es-US"/>
        </w:rPr>
        <w:t>AIAW de Unity para obtener materiales gráficos listos para las redes sociales que puedes usar para comunicar y llamar la atención sobre la importancia de tomar acción ahora para mejorar la cobertura de vacunación de los adolescentes</w:t>
      </w:r>
      <w:r>
        <w:rPr>
          <w:rFonts w:ascii="Century Gothic" w:hAnsi="Century Gothic" w:cs="Arial"/>
          <w:lang w:val="es-US"/>
        </w:rPr>
        <w:t xml:space="preserve">. </w:t>
      </w:r>
    </w:p>
    <w:p w14:paraId="628BC03B" w14:textId="77777777" w:rsidR="00F0204E" w:rsidRDefault="00F0204E" w:rsidP="00F0204E">
      <w:pPr>
        <w:ind w:right="180" w:firstLine="270"/>
        <w:rPr>
          <w:rFonts w:ascii="Century Gothic" w:hAnsi="Century Gothic" w:cs="Arial"/>
          <w:lang w:val="es-US"/>
        </w:rPr>
      </w:pPr>
      <w:r>
        <w:rPr>
          <w:rFonts w:ascii="Century Gothic" w:hAnsi="Century Gothic"/>
          <w:lang w:val="es-US"/>
        </w:rPr>
        <w:t>Aquí hay ideas de acción para AIAW para recordar, y programar las vacunas</w:t>
      </w:r>
      <w:r>
        <w:rPr>
          <w:rFonts w:ascii="Century Gothic" w:hAnsi="Century Gothic" w:cs="Arial"/>
          <w:lang w:val="es-US"/>
        </w:rPr>
        <w:t xml:space="preserve">: </w:t>
      </w:r>
    </w:p>
    <w:p w14:paraId="265A7F70" w14:textId="77777777" w:rsidR="00F0204E" w:rsidRDefault="00F0204E" w:rsidP="00F0204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lang w:val="es-US"/>
        </w:rPr>
      </w:pPr>
      <w:r>
        <w:rPr>
          <w:rFonts w:ascii="Century Gothic" w:hAnsi="Century Gothic"/>
          <w:lang w:val="es-US"/>
        </w:rPr>
        <w:t>Usar los Registros Electrónicos de Salud para identificar a los pacientes que no recibieron las vacunas recomendadas y comunicarse con ellos para programar citas.</w:t>
      </w:r>
    </w:p>
    <w:p w14:paraId="78D7A3A8" w14:textId="77777777" w:rsidR="00F0204E" w:rsidRDefault="00F0204E" w:rsidP="00F0204E">
      <w:pPr>
        <w:numPr>
          <w:ilvl w:val="0"/>
          <w:numId w:val="1"/>
        </w:numPr>
        <w:spacing w:line="252" w:lineRule="auto"/>
        <w:ind w:right="180"/>
        <w:contextualSpacing/>
        <w:rPr>
          <w:rFonts w:ascii="Century Gothic" w:eastAsia="Times New Roman" w:hAnsi="Century Gothic" w:cs="Arial"/>
          <w:lang w:val="es-US"/>
        </w:rPr>
      </w:pPr>
      <w:r>
        <w:rPr>
          <w:rFonts w:ascii="Century Gothic" w:hAnsi="Century Gothic"/>
          <w:lang w:val="es-US"/>
        </w:rPr>
        <w:t>Comunicarse con las familias para hablarles sobre las visitas de bienestar perdidas y la importancia de mantenerse al día con las vacunas recomendadas.</w:t>
      </w:r>
      <w:r>
        <w:rPr>
          <w:rFonts w:ascii="Century Gothic" w:eastAsia="Times New Roman" w:hAnsi="Century Gothic" w:cs="Arial"/>
          <w:lang w:val="es-US"/>
        </w:rPr>
        <w:t xml:space="preserve"> </w:t>
      </w:r>
    </w:p>
    <w:p w14:paraId="03AE582D" w14:textId="77777777" w:rsidR="00F0204E" w:rsidRDefault="00F0204E" w:rsidP="00F0204E">
      <w:pPr>
        <w:numPr>
          <w:ilvl w:val="0"/>
          <w:numId w:val="1"/>
        </w:numPr>
        <w:spacing w:after="0" w:line="252" w:lineRule="auto"/>
        <w:ind w:right="180"/>
        <w:contextualSpacing/>
        <w:rPr>
          <w:rFonts w:ascii="Century Gothic" w:eastAsia="Times New Roman" w:hAnsi="Century Gothic" w:cs="Arial"/>
          <w:lang w:val="es-US"/>
        </w:rPr>
      </w:pPr>
      <w:r>
        <w:rPr>
          <w:rFonts w:ascii="Century Gothic" w:hAnsi="Century Gothic"/>
          <w:lang w:val="es-US"/>
        </w:rPr>
        <w:t>Hacer que la programación de vacunación sea lo más conveniente posible para los padres, por ejemplo, ofreciendo clínicas de vacunación durante las vacaciones escolares/vacaciones de primavera</w:t>
      </w:r>
      <w:r>
        <w:rPr>
          <w:rFonts w:ascii="Century Gothic" w:eastAsia="Times New Roman" w:hAnsi="Century Gothic" w:cs="Arial"/>
          <w:lang w:val="es-US"/>
        </w:rPr>
        <w:t>.</w:t>
      </w:r>
    </w:p>
    <w:p w14:paraId="52795870" w14:textId="77777777" w:rsidR="00F0204E" w:rsidRDefault="00F0204E" w:rsidP="00F0204E">
      <w:pPr>
        <w:numPr>
          <w:ilvl w:val="0"/>
          <w:numId w:val="1"/>
        </w:numPr>
        <w:spacing w:after="0" w:line="252" w:lineRule="auto"/>
        <w:ind w:right="180"/>
        <w:contextualSpacing/>
        <w:rPr>
          <w:rFonts w:ascii="Century Gothic" w:eastAsia="Times New Roman" w:hAnsi="Century Gothic" w:cs="Arial"/>
          <w:lang w:val="es-US"/>
        </w:rPr>
      </w:pPr>
      <w:r>
        <w:rPr>
          <w:rFonts w:ascii="Century Gothic" w:hAnsi="Century Gothic"/>
          <w:lang w:val="es-US"/>
        </w:rPr>
        <w:lastRenderedPageBreak/>
        <w:t xml:space="preserve">Verificar el estado de vacunación durante todas las visitas de los adolescentes para evitar </w:t>
      </w:r>
      <w:r>
        <w:rPr>
          <w:rFonts w:ascii="Century Gothic" w:hAnsi="Century Gothic"/>
          <w:color w:val="4472C4" w:themeColor="accent1"/>
          <w:u w:val="single"/>
          <w:lang w:val="es-US"/>
        </w:rPr>
        <w:t>oportunidades perdidas.</w:t>
      </w:r>
      <w:r>
        <w:rPr>
          <w:rFonts w:ascii="Century Gothic" w:eastAsia="Times New Roman" w:hAnsi="Century Gothic" w:cs="Arial"/>
          <w:lang w:val="es-US"/>
        </w:rPr>
        <w:t xml:space="preserve"> </w:t>
      </w:r>
    </w:p>
    <w:p w14:paraId="1442B355" w14:textId="77777777" w:rsidR="00F0204E" w:rsidRDefault="00F0204E" w:rsidP="00F0204E">
      <w:pPr>
        <w:numPr>
          <w:ilvl w:val="0"/>
          <w:numId w:val="1"/>
        </w:numPr>
        <w:spacing w:after="0" w:line="252" w:lineRule="auto"/>
        <w:ind w:right="180"/>
        <w:contextualSpacing/>
        <w:rPr>
          <w:rFonts w:ascii="Century Gothic" w:eastAsia="Times New Roman" w:hAnsi="Century Gothic" w:cs="Arial"/>
          <w:lang w:val="es-US"/>
        </w:rPr>
      </w:pPr>
      <w:r>
        <w:rPr>
          <w:rFonts w:ascii="Century Gothic" w:hAnsi="Century Gothic"/>
          <w:lang w:val="es-US"/>
        </w:rPr>
        <w:t xml:space="preserve">Hacer </w:t>
      </w:r>
      <w:r>
        <w:rPr>
          <w:rFonts w:ascii="Century Gothic" w:hAnsi="Century Gothic"/>
          <w:color w:val="4472C4" w:themeColor="accent1"/>
          <w:u w:val="single"/>
          <w:lang w:val="es-US"/>
        </w:rPr>
        <w:t>recomendaciones</w:t>
      </w:r>
      <w:r>
        <w:rPr>
          <w:rFonts w:ascii="Century Gothic" w:hAnsi="Century Gothic"/>
          <w:lang w:val="es-US"/>
        </w:rPr>
        <w:t xml:space="preserve"> seguras y presuntivas </w:t>
      </w:r>
      <w:r>
        <w:rPr>
          <w:rFonts w:ascii="Century Gothic" w:hAnsi="Century Gothic"/>
          <w:color w:val="4472C4" w:themeColor="accent1"/>
          <w:u w:val="single"/>
          <w:lang w:val="es-US"/>
        </w:rPr>
        <w:t>de vacunas</w:t>
      </w:r>
      <w:r>
        <w:rPr>
          <w:rFonts w:ascii="Century Gothic" w:hAnsi="Century Gothic"/>
          <w:lang w:val="es-US"/>
        </w:rPr>
        <w:t>, y compartir fuentes confiables y creíbles sobre la seguridad y eficacia de las vacunas.</w:t>
      </w:r>
    </w:p>
    <w:p w14:paraId="5DE673E8" w14:textId="77777777" w:rsidR="00F0204E" w:rsidRDefault="00F0204E" w:rsidP="00F0204E">
      <w:pPr>
        <w:pStyle w:val="ListParagraph"/>
        <w:numPr>
          <w:ilvl w:val="0"/>
          <w:numId w:val="1"/>
        </w:numPr>
        <w:ind w:right="180"/>
        <w:rPr>
          <w:rFonts w:ascii="Century Gothic" w:hAnsi="Century Gothic"/>
          <w:lang w:val="es-US"/>
        </w:rPr>
      </w:pPr>
      <w:r>
        <w:rPr>
          <w:rFonts w:ascii="Century Gothic" w:hAnsi="Century Gothic"/>
          <w:lang w:val="es-US"/>
        </w:rPr>
        <w:t>Compartir el llamado a la acción #AIAW22 con organizaciones locales (departamentos de salud, escuelas), para que ellos también puedan correr la voz.</w:t>
      </w:r>
    </w:p>
    <w:p w14:paraId="6CF975AD" w14:textId="77777777" w:rsidR="00F0204E" w:rsidRDefault="00F0204E" w:rsidP="00F0204E">
      <w:pPr>
        <w:ind w:left="630"/>
        <w:rPr>
          <w:rFonts w:ascii="Century Gothic" w:hAnsi="Century Gothic"/>
          <w:lang w:val="es-US"/>
        </w:rPr>
      </w:pPr>
      <w:r>
        <w:rPr>
          <w:rFonts w:ascii="Century Gothic" w:hAnsi="Century Gothic" w:cs="Arial"/>
          <w:color w:val="000000"/>
          <w:shd w:val="clear" w:color="auto" w:fill="FFFFFF"/>
          <w:lang w:val="es-US"/>
        </w:rPr>
        <w:br/>
      </w:r>
      <w:r>
        <w:rPr>
          <w:rFonts w:ascii="Century Gothic" w:hAnsi="Century Gothic"/>
          <w:lang w:val="es-US"/>
        </w:rPr>
        <w:t xml:space="preserve">Juntos podemos ayudar a mitigar el impacto de COVID-19 en las tasas de vacunación de los adolescentes y ayudar a prevenir futuros brotes de enfermedades prevenibles con las vacunas. </w:t>
      </w:r>
    </w:p>
    <w:p w14:paraId="069DDEDD" w14:textId="77777777" w:rsidR="00CD43EA" w:rsidRPr="00F0204E" w:rsidRDefault="00CD43EA">
      <w:pPr>
        <w:rPr>
          <w:lang w:val="es-US"/>
        </w:rPr>
      </w:pPr>
    </w:p>
    <w:sectPr w:rsidR="00CD43EA" w:rsidRPr="00F0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1384D"/>
    <w:multiLevelType w:val="hybridMultilevel"/>
    <w:tmpl w:val="9D52D94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04E"/>
    <w:rsid w:val="00CD43EA"/>
    <w:rsid w:val="00F0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6794D"/>
  <w15:chartTrackingRefBased/>
  <w15:docId w15:val="{09C51299-3BA7-4F0E-BAE3-F315278F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04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204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204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F0204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Kim%20Wolfe\Downloads\unity4teenvax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Nivedha Meyyappan</dc:creator>
  <cp:keywords/>
  <dc:description/>
  <cp:lastModifiedBy>Nivedha Meyyappan</cp:lastModifiedBy>
  <cp:revision>1</cp:revision>
  <dcterms:created xsi:type="dcterms:W3CDTF">2022-03-24T15:36:00Z</dcterms:created>
  <dcterms:modified xsi:type="dcterms:W3CDTF">2022-03-24T15:37:00Z</dcterms:modified>
</cp:coreProperties>
</file>