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01C51" w14:textId="206513ED" w:rsidR="00F13CD0" w:rsidRDefault="00F13CD0" w:rsidP="00C96B0D">
      <w:pPr>
        <w:pStyle w:val="NormalWeb"/>
        <w:ind w:left="1260" w:right="-720"/>
        <w:jc w:val="center"/>
      </w:pPr>
    </w:p>
    <w:p w14:paraId="0978AAA8" w14:textId="4214AC35" w:rsidR="008A1DD7" w:rsidRDefault="006A65FE" w:rsidP="00F13CD0">
      <w:pPr>
        <w:pStyle w:val="NormalWeb"/>
        <w:jc w:val="center"/>
      </w:pPr>
      <w:r>
        <w:rPr>
          <w:noProof/>
        </w:rPr>
        <w:drawing>
          <wp:inline distT="0" distB="0" distL="0" distR="0" wp14:anchorId="2E1F34A9" wp14:editId="4F688712">
            <wp:extent cx="1199213" cy="10889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37664" cy="1123814"/>
                    </a:xfrm>
                    <a:prstGeom prst="rect">
                      <a:avLst/>
                    </a:prstGeom>
                  </pic:spPr>
                </pic:pic>
              </a:graphicData>
            </a:graphic>
          </wp:inline>
        </w:drawing>
      </w:r>
    </w:p>
    <w:p w14:paraId="76EF9154" w14:textId="5BBDA331" w:rsidR="00F13CD0" w:rsidRPr="008A1DD7" w:rsidRDefault="17A6500A" w:rsidP="17A6500A">
      <w:pPr>
        <w:pStyle w:val="NormalWeb"/>
        <w:spacing w:before="0" w:beforeAutospacing="0" w:after="0" w:afterAutospacing="0"/>
        <w:jc w:val="center"/>
        <w:rPr>
          <w:rFonts w:ascii="Arial" w:hAnsi="Arial" w:cs="Arial"/>
          <w:b/>
          <w:bCs/>
          <w:color w:val="00B0F0"/>
          <w:sz w:val="28"/>
          <w:szCs w:val="28"/>
        </w:rPr>
      </w:pPr>
      <w:r w:rsidRPr="17A6500A">
        <w:rPr>
          <w:rFonts w:ascii="Arial" w:hAnsi="Arial" w:cs="Arial"/>
          <w:b/>
          <w:bCs/>
          <w:color w:val="000000" w:themeColor="text1"/>
          <w:sz w:val="28"/>
          <w:szCs w:val="28"/>
        </w:rPr>
        <w:t>Adolescent Immunization Action Week</w:t>
      </w:r>
    </w:p>
    <w:p w14:paraId="51485C21" w14:textId="0B011142" w:rsidR="17A6500A" w:rsidRDefault="17A6500A" w:rsidP="17A6500A">
      <w:pPr>
        <w:pStyle w:val="NormalWeb"/>
        <w:spacing w:before="0" w:beforeAutospacing="0" w:after="0" w:afterAutospacing="0"/>
        <w:jc w:val="center"/>
        <w:rPr>
          <w:rFonts w:ascii="Arial" w:hAnsi="Arial" w:cs="Arial"/>
          <w:b/>
          <w:bCs/>
          <w:color w:val="00B0F0"/>
        </w:rPr>
      </w:pPr>
    </w:p>
    <w:p w14:paraId="6B9BA16F" w14:textId="35C11264" w:rsidR="00F13CD0" w:rsidRPr="008A1DD7" w:rsidRDefault="17A6500A" w:rsidP="17A6500A">
      <w:pPr>
        <w:pStyle w:val="NormalWeb"/>
        <w:spacing w:before="0" w:beforeAutospacing="0" w:after="0" w:afterAutospacing="0"/>
        <w:jc w:val="center"/>
        <w:rPr>
          <w:rFonts w:ascii="Arial" w:hAnsi="Arial" w:cs="Arial"/>
          <w:b/>
          <w:bCs/>
          <w:color w:val="00B0F0"/>
        </w:rPr>
      </w:pPr>
      <w:r w:rsidRPr="17A6500A">
        <w:rPr>
          <w:rFonts w:ascii="Arial" w:hAnsi="Arial" w:cs="Arial"/>
          <w:b/>
          <w:bCs/>
          <w:color w:val="00B0F0"/>
        </w:rPr>
        <w:t>Sample Newsletter Content for HCP Audiences</w:t>
      </w:r>
    </w:p>
    <w:p w14:paraId="4C8D2106" w14:textId="77777777" w:rsidR="00C96B0D" w:rsidRDefault="00C96B0D" w:rsidP="17A6500A">
      <w:pPr>
        <w:pStyle w:val="NormalWeb"/>
        <w:spacing w:before="0" w:beforeAutospacing="0" w:after="0" w:afterAutospacing="0"/>
        <w:ind w:left="720"/>
        <w:jc w:val="center"/>
        <w:rPr>
          <w:rFonts w:ascii="Arial" w:hAnsi="Arial" w:cs="Arial"/>
          <w:i/>
          <w:iCs/>
          <w:color w:val="000000"/>
        </w:rPr>
      </w:pPr>
    </w:p>
    <w:p w14:paraId="5D38CD34" w14:textId="77777777" w:rsidR="00F13CD0" w:rsidRPr="008A1DD7" w:rsidRDefault="17A6500A" w:rsidP="17A6500A">
      <w:pPr>
        <w:pStyle w:val="NormalWeb"/>
        <w:spacing w:before="0" w:beforeAutospacing="0" w:after="0" w:afterAutospacing="0"/>
        <w:ind w:left="720"/>
        <w:jc w:val="center"/>
        <w:rPr>
          <w:rFonts w:ascii="Arial" w:hAnsi="Arial" w:cs="Arial"/>
          <w:i/>
          <w:iCs/>
          <w:color w:val="000000"/>
          <w:sz w:val="22"/>
          <w:szCs w:val="22"/>
        </w:rPr>
      </w:pPr>
      <w:r w:rsidRPr="17A6500A">
        <w:rPr>
          <w:rFonts w:ascii="Arial" w:hAnsi="Arial" w:cs="Arial"/>
          <w:i/>
          <w:iCs/>
          <w:color w:val="000000" w:themeColor="text1"/>
          <w:sz w:val="22"/>
          <w:szCs w:val="22"/>
        </w:rPr>
        <w:t>Use or adapt this sample news content to spread word about AIAW to your network</w:t>
      </w:r>
      <w:r w:rsidR="00F13CD0">
        <w:br/>
      </w:r>
      <w:r w:rsidRPr="17A6500A">
        <w:rPr>
          <w:rFonts w:ascii="Arial" w:hAnsi="Arial" w:cs="Arial"/>
          <w:i/>
          <w:iCs/>
          <w:color w:val="000000" w:themeColor="text1"/>
          <w:sz w:val="22"/>
          <w:szCs w:val="22"/>
        </w:rPr>
        <w:t xml:space="preserve"> via newsletter, email, blog or other communication channels</w:t>
      </w:r>
    </w:p>
    <w:p w14:paraId="67251E8D" w14:textId="77777777" w:rsidR="008A1DD7" w:rsidRDefault="008A1DD7" w:rsidP="17A6500A">
      <w:pPr>
        <w:pStyle w:val="NormalWeb"/>
        <w:spacing w:before="0" w:beforeAutospacing="0" w:after="0" w:afterAutospacing="0"/>
        <w:jc w:val="center"/>
        <w:rPr>
          <w:rFonts w:ascii="Arial" w:hAnsi="Arial" w:cs="Arial"/>
          <w:color w:val="000000"/>
          <w:sz w:val="22"/>
          <w:szCs w:val="22"/>
        </w:rPr>
      </w:pPr>
    </w:p>
    <w:p w14:paraId="1611FF30" w14:textId="77777777" w:rsidR="00F13CD0" w:rsidRPr="008A1DD7" w:rsidRDefault="17A6500A" w:rsidP="17A6500A">
      <w:pPr>
        <w:pStyle w:val="NormalWeb"/>
        <w:spacing w:before="0" w:beforeAutospacing="0" w:after="0" w:afterAutospacing="0"/>
        <w:jc w:val="center"/>
        <w:rPr>
          <w:rFonts w:ascii="Arial" w:hAnsi="Arial" w:cs="Arial"/>
          <w:b/>
          <w:bCs/>
          <w:color w:val="000000"/>
        </w:rPr>
      </w:pPr>
      <w:r w:rsidRPr="17A6500A">
        <w:rPr>
          <w:rFonts w:ascii="Arial" w:hAnsi="Arial" w:cs="Arial"/>
          <w:b/>
          <w:bCs/>
          <w:color w:val="000000" w:themeColor="text1"/>
        </w:rPr>
        <w:t xml:space="preserve">Adolescent Immunization Action Week gears up to get </w:t>
      </w:r>
      <w:r w:rsidR="00F13CD0">
        <w:br/>
      </w:r>
      <w:r w:rsidRPr="17A6500A">
        <w:rPr>
          <w:rFonts w:ascii="Arial" w:hAnsi="Arial" w:cs="Arial"/>
          <w:b/>
          <w:bCs/>
          <w:color w:val="000000" w:themeColor="text1"/>
        </w:rPr>
        <w:t>adolescents up to date on immunizations</w:t>
      </w:r>
    </w:p>
    <w:p w14:paraId="0059103E" w14:textId="2A334FAD" w:rsidR="64E8F7DF" w:rsidRDefault="64E8F7DF" w:rsidP="17A6500A">
      <w:pPr>
        <w:spacing w:after="0" w:line="240" w:lineRule="auto"/>
        <w:ind w:left="270" w:right="180"/>
        <w:rPr>
          <w:rFonts w:ascii="Arial" w:hAnsi="Arial" w:cs="Arial"/>
        </w:rPr>
      </w:pPr>
    </w:p>
    <w:p w14:paraId="4B77807F" w14:textId="39417E04" w:rsidR="002874BE" w:rsidRPr="00C96B0D" w:rsidRDefault="06D537DB" w:rsidP="17A6500A">
      <w:pPr>
        <w:spacing w:after="0" w:line="240" w:lineRule="auto"/>
        <w:ind w:left="270" w:right="180"/>
        <w:rPr>
          <w:rFonts w:ascii="Arial" w:hAnsi="Arial" w:cs="Arial"/>
        </w:rPr>
      </w:pPr>
      <w:r w:rsidRPr="06D537DB">
        <w:rPr>
          <w:rFonts w:ascii="Arial" w:hAnsi="Arial" w:cs="Arial"/>
        </w:rPr>
        <w:t>April 3</w:t>
      </w:r>
      <w:r w:rsidRPr="06D537DB">
        <w:rPr>
          <w:rFonts w:ascii="Arial" w:hAnsi="Arial" w:cs="Arial"/>
          <w:vertAlign w:val="superscript"/>
        </w:rPr>
        <w:t xml:space="preserve">rd </w:t>
      </w:r>
      <w:r w:rsidRPr="06D537DB">
        <w:rPr>
          <w:rFonts w:ascii="Arial" w:hAnsi="Arial" w:cs="Arial"/>
        </w:rPr>
        <w:t>– 7</w:t>
      </w:r>
      <w:r w:rsidRPr="06D537DB">
        <w:rPr>
          <w:rFonts w:ascii="Arial" w:hAnsi="Arial" w:cs="Arial"/>
          <w:vertAlign w:val="superscript"/>
        </w:rPr>
        <w:t>th</w:t>
      </w:r>
      <w:r w:rsidRPr="06D537DB">
        <w:rPr>
          <w:rFonts w:ascii="Arial" w:hAnsi="Arial" w:cs="Arial"/>
        </w:rPr>
        <w:t xml:space="preserve"> is the second annual Adolescent Immunization Action Week (#AIAW23). Join us and </w:t>
      </w:r>
      <w:hyperlink r:id="rId6">
        <w:r w:rsidRPr="06D537DB">
          <w:rPr>
            <w:rStyle w:val="Hyperlink"/>
            <w:rFonts w:ascii="Arial" w:hAnsi="Arial" w:cs="Arial"/>
          </w:rPr>
          <w:t>Unity® Consortium</w:t>
        </w:r>
      </w:hyperlink>
      <w:r w:rsidRPr="06D537DB">
        <w:rPr>
          <w:rFonts w:ascii="Arial" w:hAnsi="Arial" w:cs="Arial"/>
        </w:rPr>
        <w:t xml:space="preserve"> to focus attention on the importance of adolescent immunization and staying up to date on recommended vaccines. </w:t>
      </w:r>
    </w:p>
    <w:p w14:paraId="0AF6B38E" w14:textId="6822174C" w:rsidR="17A6500A" w:rsidRDefault="17A6500A" w:rsidP="17A6500A">
      <w:pPr>
        <w:spacing w:after="0" w:line="240" w:lineRule="auto"/>
        <w:ind w:left="270" w:right="180"/>
        <w:rPr>
          <w:rFonts w:ascii="Arial" w:hAnsi="Arial" w:cs="Arial"/>
        </w:rPr>
      </w:pPr>
    </w:p>
    <w:p w14:paraId="2FC80B2C" w14:textId="3063F235" w:rsidR="002874BE" w:rsidRPr="00C96B0D" w:rsidRDefault="06D537DB" w:rsidP="06D537DB">
      <w:pPr>
        <w:spacing w:after="0" w:line="240" w:lineRule="auto"/>
        <w:ind w:left="270" w:right="180"/>
        <w:rPr>
          <w:rFonts w:ascii="Arial" w:hAnsi="Arial" w:cs="Arial"/>
        </w:rPr>
      </w:pPr>
      <w:r w:rsidRPr="06D537DB">
        <w:rPr>
          <w:rFonts w:ascii="Arial" w:hAnsi="Arial" w:cs="Arial"/>
        </w:rPr>
        <w:t xml:space="preserve">Parents cite their adolescent’s health care provider as the most trusted and influential source of vaccine information. Parents look to you for vaccine recommendations, to address questions, and correct misinformation. </w:t>
      </w:r>
    </w:p>
    <w:p w14:paraId="1BA85105" w14:textId="0C09C79A" w:rsidR="002874BE" w:rsidRPr="00C96B0D" w:rsidRDefault="002874BE" w:rsidP="06D537DB">
      <w:pPr>
        <w:spacing w:after="0" w:line="240" w:lineRule="auto"/>
        <w:ind w:left="270" w:right="180"/>
        <w:rPr>
          <w:rFonts w:ascii="Arial" w:hAnsi="Arial" w:cs="Arial"/>
        </w:rPr>
      </w:pPr>
    </w:p>
    <w:p w14:paraId="2A61126D" w14:textId="64E7E8C4" w:rsidR="002874BE" w:rsidRPr="00C96B0D" w:rsidRDefault="06D537DB" w:rsidP="00EB2528">
      <w:pPr>
        <w:spacing w:after="0" w:line="240" w:lineRule="auto"/>
        <w:ind w:left="270" w:right="180"/>
        <w:rPr>
          <w:rFonts w:ascii="Arial" w:hAnsi="Arial" w:cs="Arial"/>
        </w:rPr>
      </w:pPr>
      <w:r w:rsidRPr="06D537DB">
        <w:rPr>
          <w:rFonts w:ascii="Arial" w:hAnsi="Arial" w:cs="Arial"/>
        </w:rPr>
        <w:t xml:space="preserve">AIAW encourages action to ensure adolescents are current on well visits and immunizations. Before and during AIAW23, we will share information and resources on Unity’s website and social media. Visit Unity’s </w:t>
      </w:r>
      <w:hyperlink r:id="rId7" w:history="1">
        <w:r w:rsidR="00E5213D">
          <w:rPr>
            <w:rStyle w:val="Hyperlink"/>
            <w:rFonts w:ascii="Arial" w:hAnsi="Arial" w:cs="Arial"/>
          </w:rPr>
          <w:t>AIAW page</w:t>
        </w:r>
      </w:hyperlink>
      <w:r w:rsidR="00E5213D">
        <w:rPr>
          <w:rFonts w:ascii="Arial" w:hAnsi="Arial" w:cs="Arial"/>
        </w:rPr>
        <w:t xml:space="preserve"> </w:t>
      </w:r>
      <w:r w:rsidRPr="06D537DB">
        <w:rPr>
          <w:rFonts w:ascii="Arial" w:hAnsi="Arial" w:cs="Arial"/>
        </w:rPr>
        <w:t xml:space="preserve">for social media-ready messages and graphics to help you draw attention to adolescent immunization. </w:t>
      </w:r>
    </w:p>
    <w:p w14:paraId="01DF2DA6" w14:textId="7ED145B3" w:rsidR="17A6500A" w:rsidRDefault="17A6500A" w:rsidP="17A6500A">
      <w:pPr>
        <w:spacing w:after="0" w:line="240" w:lineRule="auto"/>
        <w:ind w:left="270" w:right="180"/>
        <w:rPr>
          <w:rFonts w:ascii="Arial" w:hAnsi="Arial" w:cs="Arial"/>
        </w:rPr>
      </w:pPr>
    </w:p>
    <w:p w14:paraId="690CAF18" w14:textId="77777777" w:rsidR="00CD12D1" w:rsidRDefault="17A6500A" w:rsidP="17A6500A">
      <w:pPr>
        <w:spacing w:after="0" w:line="240" w:lineRule="auto"/>
        <w:ind w:right="180" w:firstLine="270"/>
        <w:rPr>
          <w:rFonts w:ascii="Arial" w:hAnsi="Arial" w:cs="Arial"/>
        </w:rPr>
      </w:pPr>
      <w:r w:rsidRPr="17A6500A">
        <w:rPr>
          <w:rFonts w:ascii="Arial" w:hAnsi="Arial" w:cs="Arial"/>
        </w:rPr>
        <w:t xml:space="preserve">Here are action ideas for AIAW to remind, recall, and schedule immunizations: </w:t>
      </w:r>
    </w:p>
    <w:p w14:paraId="28355C6E" w14:textId="7DD73DC2" w:rsidR="24A136DD" w:rsidRDefault="17A6500A" w:rsidP="17A6500A">
      <w:pPr>
        <w:pStyle w:val="ListParagraph"/>
        <w:numPr>
          <w:ilvl w:val="0"/>
          <w:numId w:val="2"/>
        </w:numPr>
        <w:spacing w:after="0" w:line="240" w:lineRule="auto"/>
      </w:pPr>
      <w:r w:rsidRPr="17A6500A">
        <w:rPr>
          <w:rFonts w:ascii="Arial" w:eastAsia="Arial" w:hAnsi="Arial" w:cs="Arial"/>
        </w:rPr>
        <w:t xml:space="preserve">Contact families who have missed well visits/immunizations  </w:t>
      </w:r>
    </w:p>
    <w:p w14:paraId="695D2C7A" w14:textId="185114D8" w:rsidR="17A6500A" w:rsidRDefault="17A6500A" w:rsidP="17A6500A">
      <w:pPr>
        <w:pStyle w:val="ListParagraph"/>
        <w:numPr>
          <w:ilvl w:val="0"/>
          <w:numId w:val="2"/>
        </w:numPr>
        <w:spacing w:after="0" w:line="240" w:lineRule="auto"/>
        <w:rPr>
          <w:rFonts w:eastAsiaTheme="minorEastAsia"/>
        </w:rPr>
      </w:pPr>
      <w:r w:rsidRPr="17A6500A">
        <w:rPr>
          <w:rFonts w:ascii="Arial" w:eastAsia="Arial" w:hAnsi="Arial" w:cs="Arial"/>
        </w:rPr>
        <w:t xml:space="preserve">Check vaccination status during all visits </w:t>
      </w:r>
      <w:r w:rsidRPr="17A6500A">
        <w:rPr>
          <w:rFonts w:ascii="Arial" w:eastAsia="Times New Roman" w:hAnsi="Arial" w:cs="Arial"/>
        </w:rPr>
        <w:t xml:space="preserve">to avoid </w:t>
      </w:r>
      <w:hyperlink r:id="rId8">
        <w:r w:rsidRPr="17A6500A">
          <w:rPr>
            <w:rStyle w:val="Hyperlink"/>
            <w:rFonts w:ascii="Arial" w:eastAsia="Times New Roman" w:hAnsi="Arial" w:cs="Arial"/>
          </w:rPr>
          <w:t>missed opportunities</w:t>
        </w:r>
      </w:hyperlink>
      <w:r w:rsidRPr="17A6500A">
        <w:rPr>
          <w:rFonts w:ascii="Arial" w:eastAsia="Times New Roman" w:hAnsi="Arial" w:cs="Arial"/>
        </w:rPr>
        <w:t xml:space="preserve"> </w:t>
      </w:r>
    </w:p>
    <w:p w14:paraId="3F2534F6" w14:textId="28137924" w:rsidR="24A136DD" w:rsidRDefault="06D537DB" w:rsidP="17A6500A">
      <w:pPr>
        <w:pStyle w:val="ListParagraph"/>
        <w:numPr>
          <w:ilvl w:val="0"/>
          <w:numId w:val="2"/>
        </w:numPr>
        <w:spacing w:after="0" w:line="240" w:lineRule="auto"/>
      </w:pPr>
      <w:r w:rsidRPr="06D537DB">
        <w:rPr>
          <w:rFonts w:ascii="Arial" w:eastAsia="Arial" w:hAnsi="Arial" w:cs="Arial"/>
        </w:rPr>
        <w:t>Deliver confident, concise, and consistent (</w:t>
      </w:r>
      <w:hyperlink r:id="rId9">
        <w:r w:rsidRPr="06D537DB">
          <w:rPr>
            <w:rStyle w:val="Hyperlink"/>
            <w:rFonts w:ascii="Arial" w:eastAsia="Arial" w:hAnsi="Arial" w:cs="Arial"/>
          </w:rPr>
          <w:t>3Cs</w:t>
        </w:r>
      </w:hyperlink>
      <w:r w:rsidRPr="06D537DB">
        <w:rPr>
          <w:rFonts w:ascii="Arial" w:eastAsia="Arial" w:hAnsi="Arial" w:cs="Arial"/>
        </w:rPr>
        <w:t xml:space="preserve">) </w:t>
      </w:r>
      <w:bookmarkStart w:id="0" w:name="_Int_XEFHYpGS"/>
      <w:r w:rsidRPr="06D537DB">
        <w:rPr>
          <w:rFonts w:ascii="Arial" w:eastAsia="Arial" w:hAnsi="Arial" w:cs="Arial"/>
        </w:rPr>
        <w:t>vaccine</w:t>
      </w:r>
      <w:bookmarkEnd w:id="0"/>
      <w:r w:rsidRPr="06D537DB">
        <w:rPr>
          <w:rFonts w:ascii="Arial" w:eastAsia="Arial" w:hAnsi="Arial" w:cs="Arial"/>
        </w:rPr>
        <w:t xml:space="preserve"> recommendations</w:t>
      </w:r>
    </w:p>
    <w:p w14:paraId="0B5E06E6" w14:textId="4941620B" w:rsidR="24A136DD" w:rsidRDefault="06D537DB" w:rsidP="17A6500A">
      <w:pPr>
        <w:pStyle w:val="ListParagraph"/>
        <w:numPr>
          <w:ilvl w:val="0"/>
          <w:numId w:val="2"/>
        </w:numPr>
        <w:spacing w:after="0" w:line="240" w:lineRule="auto"/>
        <w:rPr>
          <w:rFonts w:ascii="Arial" w:eastAsia="Arial" w:hAnsi="Arial" w:cs="Arial"/>
        </w:rPr>
      </w:pPr>
      <w:r w:rsidRPr="06D537DB">
        <w:rPr>
          <w:rFonts w:ascii="Arial" w:eastAsia="Arial" w:hAnsi="Arial" w:cs="Arial"/>
        </w:rPr>
        <w:t xml:space="preserve">Make scheduling vaccine appointments convenient (e.g., clinics during school vacations) </w:t>
      </w:r>
    </w:p>
    <w:p w14:paraId="65867092" w14:textId="556EEC94" w:rsidR="24A136DD" w:rsidRDefault="17A6500A" w:rsidP="17A6500A">
      <w:pPr>
        <w:pStyle w:val="ListParagraph"/>
        <w:numPr>
          <w:ilvl w:val="0"/>
          <w:numId w:val="2"/>
        </w:numPr>
        <w:spacing w:after="0" w:line="240" w:lineRule="auto"/>
        <w:rPr>
          <w:rFonts w:ascii="Arial" w:eastAsia="Arial" w:hAnsi="Arial" w:cs="Arial"/>
        </w:rPr>
      </w:pPr>
      <w:r w:rsidRPr="17A6500A">
        <w:rPr>
          <w:rFonts w:ascii="Arial" w:eastAsia="Arial" w:hAnsi="Arial" w:cs="Arial"/>
        </w:rPr>
        <w:t>Use electronic health records and vaccine registries to identify adolescents who are not up to date</w:t>
      </w:r>
    </w:p>
    <w:p w14:paraId="01D56582" w14:textId="0DEAF346" w:rsidR="24A136DD" w:rsidRDefault="17A6500A" w:rsidP="17A6500A">
      <w:pPr>
        <w:pStyle w:val="ListParagraph"/>
        <w:numPr>
          <w:ilvl w:val="0"/>
          <w:numId w:val="2"/>
        </w:numPr>
        <w:spacing w:after="0" w:line="240" w:lineRule="auto"/>
      </w:pPr>
      <w:r w:rsidRPr="17A6500A">
        <w:rPr>
          <w:rFonts w:ascii="Arial" w:eastAsia="Times New Roman" w:hAnsi="Arial" w:cs="Arial"/>
        </w:rPr>
        <w:t xml:space="preserve">Co-administer recommended vaccines to maximize the opportunity to keep adolescents up to date </w:t>
      </w:r>
    </w:p>
    <w:p w14:paraId="02BC8EDF" w14:textId="2BDD002A" w:rsidR="00CD12D1" w:rsidRDefault="17A6500A" w:rsidP="17A6500A">
      <w:pPr>
        <w:numPr>
          <w:ilvl w:val="0"/>
          <w:numId w:val="2"/>
        </w:numPr>
        <w:spacing w:after="0" w:line="240" w:lineRule="auto"/>
        <w:ind w:right="180"/>
        <w:contextualSpacing/>
        <w:rPr>
          <w:rFonts w:ascii="Arial" w:eastAsia="Times New Roman" w:hAnsi="Arial" w:cs="Arial"/>
        </w:rPr>
      </w:pPr>
      <w:r w:rsidRPr="17A6500A">
        <w:rPr>
          <w:rFonts w:ascii="Arial" w:eastAsia="Times New Roman" w:hAnsi="Arial" w:cs="Arial"/>
        </w:rPr>
        <w:t>Share the #AIAW23 call to action with local health departments, organizations and/or schools) so they too can spread the word</w:t>
      </w:r>
    </w:p>
    <w:p w14:paraId="16C1BC35" w14:textId="77777777" w:rsidR="00CD12D1" w:rsidRDefault="000B5185" w:rsidP="17A6500A">
      <w:pPr>
        <w:spacing w:after="0" w:line="240" w:lineRule="auto"/>
        <w:ind w:left="270" w:right="180"/>
        <w:rPr>
          <w:rFonts w:ascii="Arial" w:hAnsi="Arial" w:cs="Arial"/>
        </w:rPr>
      </w:pPr>
      <w:r>
        <w:rPr>
          <w:rFonts w:ascii="Arial" w:hAnsi="Arial" w:cs="Arial"/>
          <w:color w:val="000000"/>
          <w:sz w:val="23"/>
          <w:szCs w:val="23"/>
          <w:shd w:val="clear" w:color="auto" w:fill="FFFFFF"/>
        </w:rPr>
        <w:br/>
      </w:r>
      <w:r w:rsidR="00CD12D1" w:rsidRPr="17A6500A">
        <w:rPr>
          <w:rFonts w:ascii="Arial" w:hAnsi="Arial" w:cs="Arial"/>
          <w:color w:val="000000"/>
          <w:shd w:val="clear" w:color="auto" w:fill="FFFFFF"/>
        </w:rPr>
        <w:t>Together we can boost adolescent immunization rates and help prevent vaccine-preventable diseases.</w:t>
      </w:r>
    </w:p>
    <w:p w14:paraId="215E03C4" w14:textId="77777777" w:rsidR="002874BE" w:rsidRDefault="002874BE" w:rsidP="17A6500A">
      <w:pPr>
        <w:spacing w:after="0" w:line="240" w:lineRule="auto"/>
      </w:pPr>
    </w:p>
    <w:sectPr w:rsidR="002874BE" w:rsidSect="00C96B0D">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XEFHYpGS" int2:invalidationBookmarkName="" int2:hashCode="f1tRtvdj1EwqEJ" int2:id="FdfAIjQ5">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51384D"/>
    <w:multiLevelType w:val="hybridMultilevel"/>
    <w:tmpl w:val="468E0E5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16cid:durableId="936445139">
    <w:abstractNumId w:val="0"/>
  </w:num>
  <w:num w:numId="2" w16cid:durableId="476264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CD0"/>
    <w:rsid w:val="000B5185"/>
    <w:rsid w:val="002874BE"/>
    <w:rsid w:val="002E56F2"/>
    <w:rsid w:val="00347D8D"/>
    <w:rsid w:val="004F5512"/>
    <w:rsid w:val="006A65FE"/>
    <w:rsid w:val="007154DE"/>
    <w:rsid w:val="008021BA"/>
    <w:rsid w:val="008A1DD7"/>
    <w:rsid w:val="008C7140"/>
    <w:rsid w:val="00B72BF2"/>
    <w:rsid w:val="00C96B0D"/>
    <w:rsid w:val="00CD12D1"/>
    <w:rsid w:val="00E5213D"/>
    <w:rsid w:val="00EB2528"/>
    <w:rsid w:val="00EC1041"/>
    <w:rsid w:val="00F13CD0"/>
    <w:rsid w:val="06D537DB"/>
    <w:rsid w:val="17A6500A"/>
    <w:rsid w:val="24A136DD"/>
    <w:rsid w:val="5924D233"/>
    <w:rsid w:val="615657F0"/>
    <w:rsid w:val="64E8F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AF257"/>
  <w15:chartTrackingRefBased/>
  <w15:docId w15:val="{27F9E4DE-85A7-41B9-9EF1-C409C3B9D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3CD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F5512"/>
    <w:rPr>
      <w:color w:val="0563C1" w:themeColor="hyperlink"/>
      <w:u w:val="single"/>
    </w:rPr>
  </w:style>
  <w:style w:type="paragraph" w:styleId="ListParagraph">
    <w:name w:val="List Paragraph"/>
    <w:basedOn w:val="Normal"/>
    <w:uiPriority w:val="34"/>
    <w:qFormat/>
    <w:rsid w:val="00C96B0D"/>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EB25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499546">
      <w:bodyDiv w:val="1"/>
      <w:marLeft w:val="0"/>
      <w:marRight w:val="0"/>
      <w:marTop w:val="0"/>
      <w:marBottom w:val="0"/>
      <w:divBdr>
        <w:top w:val="none" w:sz="0" w:space="0" w:color="auto"/>
        <w:left w:val="none" w:sz="0" w:space="0" w:color="auto"/>
        <w:bottom w:val="none" w:sz="0" w:space="0" w:color="auto"/>
        <w:right w:val="none" w:sz="0" w:space="0" w:color="auto"/>
      </w:divBdr>
    </w:div>
    <w:div w:id="202685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ty4teenvax.org/vax16/" TargetMode="External"/><Relationship Id="rId3" Type="http://schemas.openxmlformats.org/officeDocument/2006/relationships/settings" Target="settings.xml"/><Relationship Id="rId7" Type="http://schemas.openxmlformats.org/officeDocument/2006/relationships/hyperlink" Target="https://www.unity4teenvax.org/aiaw23/" TargetMode="External"/><Relationship Id="rId12" Type="http://schemas.microsoft.com/office/2020/10/relationships/intelligence" Target="intelligence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Kim%20Wolfe\Downloads\unity4teenvax.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nity4teenvax.org/3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1811</Characters>
  <Application>Microsoft Office Word</Application>
  <DocSecurity>0</DocSecurity>
  <Lines>15</Lines>
  <Paragraphs>4</Paragraphs>
  <ScaleCrop>false</ScaleCrop>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Huamani</dc:creator>
  <cp:keywords/>
  <dc:description/>
  <cp:lastModifiedBy>Kim Wolfe</cp:lastModifiedBy>
  <cp:revision>6</cp:revision>
  <dcterms:created xsi:type="dcterms:W3CDTF">2023-01-02T22:26:00Z</dcterms:created>
  <dcterms:modified xsi:type="dcterms:W3CDTF">2023-01-16T17:29:00Z</dcterms:modified>
</cp:coreProperties>
</file>