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0264" w14:textId="4EC3130F" w:rsidR="006416AD" w:rsidRPr="0016234C" w:rsidRDefault="00D05254" w:rsidP="0009545E">
      <w:pPr>
        <w:pStyle w:val="NormalWeb"/>
        <w:jc w:val="center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905209" wp14:editId="7F0CABB5">
            <wp:simplePos x="0" y="0"/>
            <wp:positionH relativeFrom="column">
              <wp:posOffset>1752600</wp:posOffset>
            </wp:positionH>
            <wp:positionV relativeFrom="paragraph">
              <wp:posOffset>-184150</wp:posOffset>
            </wp:positionV>
            <wp:extent cx="1996440" cy="1543050"/>
            <wp:effectExtent l="0" t="0" r="3810" b="0"/>
            <wp:wrapNone/>
            <wp:docPr id="361611598" name="Picture 1" descr="A blue stamp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611598" name="Picture 1" descr="A blue stamp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45E" w:rsidRPr="0016234C">
        <w:rPr>
          <w:lang w:val="es-ES_tradnl"/>
        </w:rPr>
        <w:t xml:space="preserve">           </w:t>
      </w:r>
    </w:p>
    <w:p w14:paraId="658FC348" w14:textId="08C30813" w:rsidR="008A1DD7" w:rsidRPr="0016234C" w:rsidRDefault="5239E138" w:rsidP="003C0953">
      <w:pPr>
        <w:pStyle w:val="NormalWeb"/>
        <w:spacing w:before="240" w:beforeAutospacing="0" w:after="0" w:afterAutospacing="0"/>
        <w:ind w:right="-720"/>
        <w:jc w:val="center"/>
        <w:rPr>
          <w:sz w:val="4"/>
          <w:szCs w:val="4"/>
          <w:lang w:val="es-ES_tradnl"/>
        </w:rPr>
      </w:pPr>
      <w:r w:rsidRPr="0016234C">
        <w:rPr>
          <w:sz w:val="4"/>
          <w:szCs w:val="4"/>
          <w:lang w:val="es-ES_tradnl"/>
        </w:rPr>
        <w:t xml:space="preserve">   </w:t>
      </w:r>
    </w:p>
    <w:p w14:paraId="3915CA8D" w14:textId="77777777" w:rsidR="00D05254" w:rsidRDefault="00D05254" w:rsidP="00195276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14:paraId="2048BC17" w14:textId="77777777" w:rsidR="00D05254" w:rsidRPr="005A759D" w:rsidRDefault="00D05254" w:rsidP="00195276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14:paraId="76B16275" w14:textId="14085F9D" w:rsidR="00195276" w:rsidRPr="0016234C" w:rsidRDefault="00195276" w:rsidP="00195276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16234C">
        <w:rPr>
          <w:rFonts w:ascii="Arial" w:hAnsi="Arial" w:cs="Arial"/>
          <w:b/>
          <w:bCs/>
          <w:sz w:val="28"/>
          <w:szCs w:val="28"/>
          <w:lang w:val="es-ES_tradnl"/>
        </w:rPr>
        <w:t>La Semana de Acción de Vacunación de Adolescentes (AIAW)</w:t>
      </w:r>
    </w:p>
    <w:p w14:paraId="4329DAF1" w14:textId="354DDBCD" w:rsidR="63C06C8A" w:rsidRPr="0016234C" w:rsidRDefault="63C06C8A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s-ES_tradnl"/>
        </w:rPr>
      </w:pPr>
    </w:p>
    <w:p w14:paraId="5BB8C019" w14:textId="532EE6B2" w:rsidR="00195276" w:rsidRPr="003B4115" w:rsidRDefault="00195276" w:rsidP="0019527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  <w:lang w:val="es-ES_tradnl"/>
        </w:rPr>
      </w:pPr>
      <w:r w:rsidRPr="003B4115">
        <w:rPr>
          <w:rFonts w:ascii="Arial" w:hAnsi="Arial" w:cs="Arial"/>
          <w:b/>
          <w:bCs/>
          <w:color w:val="00B0F0"/>
          <w:lang w:val="es-ES_tradnl"/>
        </w:rPr>
        <w:t>Ejemplo del contenido del boletín informativo para padres y cuidadores</w:t>
      </w:r>
    </w:p>
    <w:p w14:paraId="2DDDA286" w14:textId="77777777" w:rsidR="00195276" w:rsidRPr="005A759D" w:rsidRDefault="00195276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5756EE6" w14:textId="652C68E2" w:rsidR="00195276" w:rsidRPr="0016234C" w:rsidRDefault="00195276" w:rsidP="63C06C8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sz w:val="22"/>
          <w:szCs w:val="22"/>
          <w:lang w:val="es-ES_tradnl"/>
        </w:rPr>
      </w:pPr>
      <w:r w:rsidRPr="0016234C">
        <w:rPr>
          <w:rFonts w:ascii="Arial" w:hAnsi="Arial" w:cs="Arial"/>
          <w:i/>
          <w:iCs/>
          <w:sz w:val="22"/>
          <w:szCs w:val="22"/>
          <w:lang w:val="es-ES_tradnl"/>
        </w:rPr>
        <w:t>Use o adapte este ejemplo para difundir mensajes sobre la AIAW en sus redes a través de boletines, emails, blogs u otros canales de comunicación</w:t>
      </w:r>
    </w:p>
    <w:p w14:paraId="4423CCD9" w14:textId="77777777" w:rsidR="008A1DD7" w:rsidRPr="0016234C" w:rsidRDefault="008A1DD7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5B7D299" w14:textId="02433C98" w:rsidR="004C27E5" w:rsidRPr="003B4115" w:rsidRDefault="004C27E5" w:rsidP="004C27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  <w:lang w:val="es-ES_tradnl"/>
        </w:rPr>
      </w:pPr>
      <w:r w:rsidRPr="003B4115">
        <w:rPr>
          <w:rFonts w:ascii="Arial" w:hAnsi="Arial" w:cs="Arial"/>
          <w:b/>
          <w:bCs/>
          <w:shd w:val="clear" w:color="auto" w:fill="FFFFFF"/>
          <w:lang w:val="es-ES_tradnl"/>
        </w:rPr>
        <w:t>D</w:t>
      </w:r>
      <w:r w:rsidR="003B195F" w:rsidRPr="003B4115">
        <w:rPr>
          <w:rFonts w:ascii="Arial" w:hAnsi="Arial" w:cs="Arial"/>
          <w:b/>
          <w:bCs/>
          <w:shd w:val="clear" w:color="auto" w:fill="FFFFFF"/>
          <w:lang w:val="es-ES_tradnl"/>
        </w:rPr>
        <w:t>urante</w:t>
      </w:r>
      <w:r w:rsidRPr="003B4115">
        <w:rPr>
          <w:rFonts w:ascii="Arial" w:hAnsi="Arial" w:cs="Arial"/>
          <w:b/>
          <w:bCs/>
          <w:shd w:val="clear" w:color="auto" w:fill="FFFFFF"/>
          <w:lang w:val="es-ES_tradnl"/>
        </w:rPr>
        <w:t xml:space="preserve"> </w:t>
      </w:r>
      <w:r w:rsidR="003B195F" w:rsidRPr="003B4115">
        <w:rPr>
          <w:rFonts w:ascii="Arial" w:hAnsi="Arial" w:cs="Arial"/>
          <w:b/>
          <w:bCs/>
          <w:shd w:val="clear" w:color="auto" w:fill="FFFFFF"/>
          <w:lang w:val="es-ES_tradnl"/>
        </w:rPr>
        <w:t>la Semana de Acción de Inmunización del Adolescent</w:t>
      </w:r>
      <w:r w:rsidRPr="003B4115">
        <w:rPr>
          <w:rFonts w:ascii="Arial" w:hAnsi="Arial" w:cs="Arial"/>
          <w:b/>
          <w:bCs/>
          <w:shd w:val="clear" w:color="auto" w:fill="FFFFFF"/>
          <w:lang w:val="es-ES_tradnl"/>
        </w:rPr>
        <w:t>e, la protección contra enfermedades prevenibles debe ser la prioridad</w:t>
      </w:r>
    </w:p>
    <w:p w14:paraId="233964A7" w14:textId="481701B0" w:rsidR="003B195F" w:rsidRPr="00135751" w:rsidRDefault="003B195F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14:paraId="08902A57" w14:textId="7C0F1C5E" w:rsidR="003B195F" w:rsidRPr="00135751" w:rsidRDefault="003B195F" w:rsidP="63C06C8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s-ES_tradnl"/>
        </w:rPr>
      </w:pPr>
      <w:r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Revise que su adolescente </w:t>
      </w:r>
      <w:r w:rsidR="004C27E5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esté</w:t>
      </w:r>
      <w:r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al día </w:t>
      </w:r>
      <w:r w:rsidR="000E6D6A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en</w:t>
      </w:r>
      <w:r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sus vacunas durante la Semana de Acción de Inmunización del Adolescente (#AIAW24) del 1 al 5 de abril.</w:t>
      </w:r>
    </w:p>
    <w:p w14:paraId="5F473BB4" w14:textId="70927F46" w:rsidR="00F13CD0" w:rsidRPr="00135751" w:rsidRDefault="00F13CD0" w:rsidP="63C06C8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s-ES_tradnl"/>
        </w:rPr>
      </w:pPr>
    </w:p>
    <w:p w14:paraId="758D5D00" w14:textId="3F3E0303" w:rsidR="003B195F" w:rsidRPr="00135751" w:rsidRDefault="003B195F" w:rsidP="246BA2E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s-ES"/>
        </w:rPr>
      </w:pP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Las vacunas son seguras y efectiva</w:t>
      </w:r>
      <w:r w:rsidR="0018208E"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s,</w:t>
      </w: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y ayudan a que usted y su familia no se enfermen o a reducir la gravedad de las enfermedades. Por eso, las sociedades médicas </w:t>
      </w:r>
      <w:r w:rsidR="00220312"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más</w:t>
      </w: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importantes</w:t>
      </w:r>
      <w:r w:rsidR="006A5616">
        <w:rPr>
          <w:rStyle w:val="FootnoteReference"/>
          <w:rFonts w:ascii="Arial" w:hAnsi="Arial" w:cs="Arial"/>
          <w:sz w:val="22"/>
          <w:szCs w:val="22"/>
          <w:shd w:val="clear" w:color="auto" w:fill="FFFFFF"/>
          <w:lang w:val="es-ES"/>
        </w:rPr>
        <w:footnoteReference w:id="2"/>
      </w:r>
      <w:r w:rsidR="00AD2ED4" w:rsidRPr="246BA2EE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s-ES"/>
        </w:rPr>
        <w:t xml:space="preserve"> </w:t>
      </w: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recomiendan las vacunas para mantener protegido</w:t>
      </w:r>
      <w:r w:rsidR="00220312"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s</w:t>
      </w: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a </w:t>
      </w:r>
      <w:r w:rsidR="000E6D6A"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los</w:t>
      </w: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adolescente</w:t>
      </w:r>
      <w:r w:rsidR="00220312"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>s</w:t>
      </w:r>
      <w:r w:rsidRPr="246BA2EE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de ciertas enfermedades, incluyendo la meningitis, los cánceres relacionados con el VPH y el COVID-19.</w:t>
      </w:r>
    </w:p>
    <w:p w14:paraId="2561AB6C" w14:textId="0A691FC2" w:rsidR="00F13CD0" w:rsidRPr="00135751" w:rsidRDefault="00F13CD0" w:rsidP="63C06C8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s-ES_tradnl"/>
        </w:rPr>
      </w:pPr>
    </w:p>
    <w:p w14:paraId="7BB807CE" w14:textId="1C3955B4" w:rsidR="003B195F" w:rsidRPr="00135751" w:rsidRDefault="000E6D6A" w:rsidP="00251DD5">
      <w:pPr>
        <w:pStyle w:val="NormalWeb"/>
        <w:spacing w:before="0" w:beforeAutospacing="0" w:after="0" w:afterAutospacing="0"/>
        <w:ind w:right="-90"/>
        <w:rPr>
          <w:rFonts w:ascii="Arial" w:hAnsi="Arial" w:cs="Arial"/>
          <w:sz w:val="18"/>
          <w:szCs w:val="18"/>
          <w:lang w:val="es-ES_tradnl"/>
        </w:rPr>
      </w:pPr>
      <w:r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Está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bien tener preguntas sobre las vacunas. Hable</w:t>
      </w:r>
      <w:r w:rsidR="0018208E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n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con su 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profesional de la salud 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para sentirse cómodo</w:t>
      </w:r>
      <w:r w:rsidR="0018208E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acerca de las vacunas que su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adolescente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necesita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n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para estar protegido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s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. 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Tome</w:t>
      </w:r>
      <w:r w:rsidR="0018208E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n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en cuenta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que los adolescentes quieren </w:t>
      </w:r>
      <w:r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estar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incluidos en 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estas</w:t>
      </w:r>
      <w:r w:rsidR="003B195F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discusi</w:t>
      </w:r>
      <w:r w:rsidR="00220312" w:rsidRP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ones</w:t>
      </w:r>
      <w:r w:rsidR="00135751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.</w:t>
      </w:r>
    </w:p>
    <w:p w14:paraId="5810F759" w14:textId="77777777" w:rsidR="00AF730D" w:rsidRPr="00135751" w:rsidRDefault="00AF730D" w:rsidP="63C06C8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es-ES_tradnl"/>
        </w:rPr>
      </w:pPr>
    </w:p>
    <w:p w14:paraId="3C4AC975" w14:textId="77777777" w:rsidR="005D26E5" w:rsidRPr="00DC5EF0" w:rsidRDefault="005D26E5" w:rsidP="005D26E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/>
        </w:rPr>
      </w:pPr>
      <w:r w:rsidRPr="00DC5EF0">
        <w:rPr>
          <w:rFonts w:ascii="Arial" w:eastAsia="Times New Roman" w:hAnsi="Arial" w:cs="Arial"/>
          <w:i/>
          <w:iCs/>
          <w:shd w:val="clear" w:color="auto" w:fill="FFFFFF"/>
          <w:lang w:val="es-ES_tradnl"/>
        </w:rPr>
        <w:t xml:space="preserve">¿Qué pueden hacer? </w:t>
      </w:r>
    </w:p>
    <w:p w14:paraId="1C1F5151" w14:textId="77777777" w:rsidR="005D26E5" w:rsidRPr="00DC5EF0" w:rsidRDefault="005D26E5" w:rsidP="005D26E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  <w:lang w:val="es-ES_tradnl"/>
        </w:rPr>
      </w:pPr>
    </w:p>
    <w:p w14:paraId="787F52A9" w14:textId="77777777" w:rsidR="005D26E5" w:rsidRDefault="005D26E5" w:rsidP="005D26E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  <w:r w:rsidRPr="00DC5EF0">
        <w:rPr>
          <w:rFonts w:ascii="Arial" w:hAnsi="Arial" w:cs="Arial"/>
          <w:i/>
          <w:iCs/>
          <w:sz w:val="22"/>
          <w:szCs w:val="22"/>
          <w:shd w:val="clear" w:color="auto" w:fill="FFFFFF"/>
          <w:lang w:val="es-ES_tradnl"/>
        </w:rPr>
        <w:t>Sigan la CLAVE y asegúrense que sus adolescentes estén al día en sus vacunas:</w:t>
      </w:r>
    </w:p>
    <w:p w14:paraId="5B85AFC5" w14:textId="77777777" w:rsidR="00DC5EF0" w:rsidRPr="00310016" w:rsidRDefault="00DC5EF0" w:rsidP="005D26E5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shd w:val="clear" w:color="auto" w:fill="FFFFFF"/>
          <w:lang w:val="es-ES_tradnl"/>
        </w:rPr>
      </w:pPr>
    </w:p>
    <w:p w14:paraId="47930D1D" w14:textId="59DF08B5" w:rsidR="005D26E5" w:rsidRPr="00135751" w:rsidRDefault="00DC5EF0" w:rsidP="00DC5EF0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i/>
          <w:sz w:val="18"/>
          <w:szCs w:val="18"/>
          <w:lang w:val="es-ES_tradnl"/>
        </w:rPr>
      </w:pPr>
      <w:r>
        <w:rPr>
          <w:noProof/>
        </w:rPr>
        <w:drawing>
          <wp:inline distT="0" distB="0" distL="0" distR="0" wp14:anchorId="5C5DF1ED" wp14:editId="0EA8EDDD">
            <wp:extent cx="2393950" cy="2393950"/>
            <wp:effectExtent l="0" t="0" r="6350" b="6350"/>
            <wp:docPr id="1458744313" name="Picture 1" descr="A white background with blue and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44313" name="Picture 1" descr="A white background with blue and pin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7618" w14:textId="77777777" w:rsidR="00DA631E" w:rsidRDefault="00DA631E" w:rsidP="63C06C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14:paraId="6FC3E6D7" w14:textId="77777777" w:rsidR="00DA631E" w:rsidRDefault="00DA631E" w:rsidP="63C06C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_tradnl"/>
        </w:rPr>
      </w:pPr>
    </w:p>
    <w:p w14:paraId="7B5894C9" w14:textId="2F7DE20B" w:rsidR="00220312" w:rsidRPr="00D05254" w:rsidRDefault="00220312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i/>
          <w:iCs/>
          <w:sz w:val="18"/>
          <w:szCs w:val="18"/>
          <w:lang w:val="es-ES_tradnl"/>
        </w:rPr>
      </w:pPr>
      <w:r w:rsidRPr="00D05254">
        <w:rPr>
          <w:rFonts w:ascii="Arial" w:hAnsi="Arial" w:cs="Arial"/>
          <w:i/>
          <w:iCs/>
          <w:sz w:val="22"/>
          <w:szCs w:val="22"/>
          <w:shd w:val="clear" w:color="auto" w:fill="FFFFFF"/>
          <w:lang w:val="es-ES_tradnl"/>
        </w:rPr>
        <w:t>¿Qué está haciendo [NOMBRE DE SU ORGANIZACIÓN]?</w:t>
      </w:r>
    </w:p>
    <w:p w14:paraId="7BA5605B" w14:textId="77777777" w:rsidR="00220312" w:rsidRPr="005D26E5" w:rsidRDefault="00220312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sz w:val="18"/>
          <w:szCs w:val="18"/>
          <w:lang w:val="es-ES_tradnl"/>
        </w:rPr>
      </w:pPr>
    </w:p>
    <w:p w14:paraId="0837E0D1" w14:textId="77777777" w:rsidR="00220312" w:rsidRPr="005D26E5" w:rsidRDefault="00220312" w:rsidP="00220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5D26E5">
        <w:rPr>
          <w:rFonts w:ascii="Arial" w:eastAsia="Times New Roman" w:hAnsi="Arial" w:cs="Arial"/>
          <w:shd w:val="clear" w:color="auto" w:fill="FFFFFF"/>
          <w:lang w:val="es-ES_tradnl"/>
        </w:rPr>
        <w:t xml:space="preserve">Durante la AIAW24, [NOMBRE DE SU ORGANIZACIÓN] compartirá información y recursos en las redes sociales para resaltar la importancia de la inmunización del adolescente. ¡Por favor, ayúdenos a correr la voz! Siga la conversación en [INSERTAR SUS NOMBRES DE USUARIO DE REDES SOCIALES] y @unityconsortium, y use #AIAW24 para compartir por qué proteger a su adolescente es importante para usted. </w:t>
      </w:r>
    </w:p>
    <w:p w14:paraId="73C79508" w14:textId="77777777" w:rsidR="00220312" w:rsidRPr="005D26E5" w:rsidRDefault="00220312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i/>
          <w:iCs/>
          <w:sz w:val="18"/>
          <w:szCs w:val="18"/>
          <w:lang w:val="es-ES_tradnl"/>
        </w:rPr>
      </w:pPr>
    </w:p>
    <w:p w14:paraId="758F12C7" w14:textId="46824BFD" w:rsidR="00220312" w:rsidRPr="00303E8D" w:rsidRDefault="00220312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  <w:r w:rsidRPr="005D26E5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Puede encontrar información adicional en </w:t>
      </w:r>
      <w:hyperlink r:id="rId9" w:history="1">
        <w:r w:rsidR="00303E8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s-ES_tradnl"/>
          </w:rPr>
          <w:t xml:space="preserve">la página En </w:t>
        </w:r>
        <w:proofErr w:type="gramStart"/>
        <w:r w:rsidR="00303E8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s-ES_tradnl"/>
          </w:rPr>
          <w:t>Español</w:t>
        </w:r>
        <w:proofErr w:type="gramEnd"/>
      </w:hyperlink>
      <w:r w:rsidR="00303E8D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  <w:r w:rsidR="00EC5F5D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o </w:t>
      </w:r>
      <w:hyperlink r:id="rId10" w:history="1">
        <w:r w:rsidR="00EC5F5D" w:rsidRPr="00EC5F5D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s-ES_tradnl"/>
          </w:rPr>
          <w:t>la página de AIAW24</w:t>
        </w:r>
      </w:hyperlink>
      <w:r w:rsidR="007B276C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  <w:r w:rsidRPr="005D26E5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de Unity Consortium.</w:t>
      </w:r>
      <w:r w:rsidR="009E2B99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 xml:space="preserve"> </w:t>
      </w:r>
    </w:p>
    <w:p w14:paraId="71DD4C97" w14:textId="77777777" w:rsidR="009669AC" w:rsidRPr="005D26E5" w:rsidRDefault="009669AC" w:rsidP="003C0953">
      <w:pPr>
        <w:pStyle w:val="NormalWeb"/>
        <w:spacing w:before="0" w:beforeAutospacing="0" w:after="0" w:afterAutospacing="0"/>
        <w:ind w:right="-180"/>
        <w:rPr>
          <w:rFonts w:ascii="Arial" w:hAnsi="Arial" w:cs="Arial"/>
          <w:sz w:val="18"/>
          <w:szCs w:val="18"/>
          <w:lang w:val="es-ES_tradnl"/>
        </w:rPr>
      </w:pPr>
    </w:p>
    <w:sectPr w:rsidR="009669AC" w:rsidRPr="005D26E5" w:rsidSect="002B499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12E2" w14:textId="77777777" w:rsidR="002B4999" w:rsidRDefault="002B4999" w:rsidP="002B7CF7">
      <w:pPr>
        <w:spacing w:after="0" w:line="240" w:lineRule="auto"/>
      </w:pPr>
      <w:r>
        <w:separator/>
      </w:r>
    </w:p>
  </w:endnote>
  <w:endnote w:type="continuationSeparator" w:id="0">
    <w:p w14:paraId="1E96999E" w14:textId="77777777" w:rsidR="002B4999" w:rsidRDefault="002B4999" w:rsidP="002B7CF7">
      <w:pPr>
        <w:spacing w:after="0" w:line="240" w:lineRule="auto"/>
      </w:pPr>
      <w:r>
        <w:continuationSeparator/>
      </w:r>
    </w:p>
  </w:endnote>
  <w:endnote w:type="continuationNotice" w:id="1">
    <w:p w14:paraId="3BD4D623" w14:textId="77777777" w:rsidR="002B4999" w:rsidRDefault="002B4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DB75" w14:textId="77777777" w:rsidR="002B4999" w:rsidRDefault="002B4999" w:rsidP="002B7CF7">
      <w:pPr>
        <w:spacing w:after="0" w:line="240" w:lineRule="auto"/>
      </w:pPr>
      <w:r>
        <w:separator/>
      </w:r>
    </w:p>
  </w:footnote>
  <w:footnote w:type="continuationSeparator" w:id="0">
    <w:p w14:paraId="586858AC" w14:textId="77777777" w:rsidR="002B4999" w:rsidRDefault="002B4999" w:rsidP="002B7CF7">
      <w:pPr>
        <w:spacing w:after="0" w:line="240" w:lineRule="auto"/>
      </w:pPr>
      <w:r>
        <w:continuationSeparator/>
      </w:r>
    </w:p>
  </w:footnote>
  <w:footnote w:type="continuationNotice" w:id="1">
    <w:p w14:paraId="4E33E06B" w14:textId="77777777" w:rsidR="002B4999" w:rsidRDefault="002B4999">
      <w:pPr>
        <w:spacing w:after="0" w:line="240" w:lineRule="auto"/>
      </w:pPr>
    </w:p>
  </w:footnote>
  <w:footnote w:id="2">
    <w:p w14:paraId="49065791" w14:textId="199DB2BA" w:rsidR="006A5616" w:rsidRDefault="006A56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AAP: </w:t>
      </w:r>
      <w:hyperlink r:id="rId1" w:history="1">
        <w:r w:rsidRPr="00625E83">
          <w:rPr>
            <w:rStyle w:val="Hyperlink"/>
          </w:rPr>
          <w:t>https://www.aap.org/en/patient-care/immunizations/</w:t>
        </w:r>
      </w:hyperlink>
      <w:r>
        <w:t xml:space="preserve">. AAFP: </w:t>
      </w:r>
      <w:hyperlink r:id="rId2" w:history="1">
        <w:r w:rsidRPr="00BA0FA8">
          <w:rPr>
            <w:rStyle w:val="Hyperlink"/>
          </w:rPr>
          <w:t>https://www.aafp.org/family-physician/patient-care/prevention-wellness/immunizations-vaccines.html</w:t>
        </w:r>
      </w:hyperlink>
      <w:r>
        <w:t xml:space="preserve">. SAHM: </w:t>
      </w:r>
      <w:hyperlink r:id="rId3" w:history="1">
        <w:r w:rsidRPr="00625E83">
          <w:rPr>
            <w:rStyle w:val="Hyperlink"/>
          </w:rPr>
          <w:t>https://adolescenthealth.org/advocacy/position-papers/</w:t>
        </w:r>
      </w:hyperlink>
      <w:r>
        <w:t>. Accessed 11/15/2023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F1B"/>
    <w:multiLevelType w:val="hybridMultilevel"/>
    <w:tmpl w:val="180E1642"/>
    <w:lvl w:ilvl="0" w:tplc="ECF6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B64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E02A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64C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0EA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AA3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4E0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947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8076F"/>
    <w:multiLevelType w:val="multilevel"/>
    <w:tmpl w:val="BB5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B6849"/>
    <w:multiLevelType w:val="hybridMultilevel"/>
    <w:tmpl w:val="0A36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14398">
    <w:abstractNumId w:val="0"/>
  </w:num>
  <w:num w:numId="2" w16cid:durableId="1517188538">
    <w:abstractNumId w:val="2"/>
  </w:num>
  <w:num w:numId="3" w16cid:durableId="194086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0"/>
    <w:rsid w:val="00002319"/>
    <w:rsid w:val="00010FF8"/>
    <w:rsid w:val="00014E00"/>
    <w:rsid w:val="000152D5"/>
    <w:rsid w:val="00036D9E"/>
    <w:rsid w:val="00076BDE"/>
    <w:rsid w:val="00077B62"/>
    <w:rsid w:val="0009416D"/>
    <w:rsid w:val="0009545E"/>
    <w:rsid w:val="000A16AA"/>
    <w:rsid w:val="000B798E"/>
    <w:rsid w:val="000D11A9"/>
    <w:rsid w:val="000E0DD6"/>
    <w:rsid w:val="000E3A25"/>
    <w:rsid w:val="000E6D6A"/>
    <w:rsid w:val="000E7EA1"/>
    <w:rsid w:val="00104953"/>
    <w:rsid w:val="001100A9"/>
    <w:rsid w:val="00135751"/>
    <w:rsid w:val="0016234C"/>
    <w:rsid w:val="00172C5B"/>
    <w:rsid w:val="0018208E"/>
    <w:rsid w:val="001933E7"/>
    <w:rsid w:val="00194D9C"/>
    <w:rsid w:val="00195276"/>
    <w:rsid w:val="001A3669"/>
    <w:rsid w:val="001C7D63"/>
    <w:rsid w:val="001D7192"/>
    <w:rsid w:val="001D7C7D"/>
    <w:rsid w:val="00217CD1"/>
    <w:rsid w:val="00220312"/>
    <w:rsid w:val="00221A06"/>
    <w:rsid w:val="00222A08"/>
    <w:rsid w:val="00225FD5"/>
    <w:rsid w:val="0022636C"/>
    <w:rsid w:val="00251DD5"/>
    <w:rsid w:val="00272D64"/>
    <w:rsid w:val="00273738"/>
    <w:rsid w:val="0029451D"/>
    <w:rsid w:val="00296600"/>
    <w:rsid w:val="002A4C8B"/>
    <w:rsid w:val="002B4999"/>
    <w:rsid w:val="002B7CF7"/>
    <w:rsid w:val="002C6FB7"/>
    <w:rsid w:val="002C7CEE"/>
    <w:rsid w:val="002D17C6"/>
    <w:rsid w:val="00303E8D"/>
    <w:rsid w:val="00310016"/>
    <w:rsid w:val="00312A11"/>
    <w:rsid w:val="00347924"/>
    <w:rsid w:val="00350A8D"/>
    <w:rsid w:val="003673B6"/>
    <w:rsid w:val="00396D30"/>
    <w:rsid w:val="003B195F"/>
    <w:rsid w:val="003B4115"/>
    <w:rsid w:val="003B5DB4"/>
    <w:rsid w:val="003B7A3C"/>
    <w:rsid w:val="003C0953"/>
    <w:rsid w:val="003E3A47"/>
    <w:rsid w:val="004222D8"/>
    <w:rsid w:val="00436E59"/>
    <w:rsid w:val="004634A0"/>
    <w:rsid w:val="004807FD"/>
    <w:rsid w:val="00486D76"/>
    <w:rsid w:val="00492196"/>
    <w:rsid w:val="00493291"/>
    <w:rsid w:val="004A1402"/>
    <w:rsid w:val="004A638B"/>
    <w:rsid w:val="004C27E5"/>
    <w:rsid w:val="004C5FDB"/>
    <w:rsid w:val="004D5A04"/>
    <w:rsid w:val="004E0396"/>
    <w:rsid w:val="004F2D78"/>
    <w:rsid w:val="004F5512"/>
    <w:rsid w:val="005010B0"/>
    <w:rsid w:val="00554E46"/>
    <w:rsid w:val="005603BA"/>
    <w:rsid w:val="0057435E"/>
    <w:rsid w:val="005764D1"/>
    <w:rsid w:val="0058603D"/>
    <w:rsid w:val="005A759D"/>
    <w:rsid w:val="005C7DA5"/>
    <w:rsid w:val="005D26E5"/>
    <w:rsid w:val="005D4267"/>
    <w:rsid w:val="005E721F"/>
    <w:rsid w:val="00602BA5"/>
    <w:rsid w:val="00610310"/>
    <w:rsid w:val="00633935"/>
    <w:rsid w:val="00634E4F"/>
    <w:rsid w:val="00636165"/>
    <w:rsid w:val="006416AD"/>
    <w:rsid w:val="00651863"/>
    <w:rsid w:val="00654D4A"/>
    <w:rsid w:val="00656ADE"/>
    <w:rsid w:val="006576AE"/>
    <w:rsid w:val="006621A9"/>
    <w:rsid w:val="00681F74"/>
    <w:rsid w:val="006A5616"/>
    <w:rsid w:val="006C6157"/>
    <w:rsid w:val="006F0007"/>
    <w:rsid w:val="006F2037"/>
    <w:rsid w:val="007008FF"/>
    <w:rsid w:val="00702862"/>
    <w:rsid w:val="007058D0"/>
    <w:rsid w:val="00714590"/>
    <w:rsid w:val="007154DE"/>
    <w:rsid w:val="00717BCC"/>
    <w:rsid w:val="00722905"/>
    <w:rsid w:val="007245AB"/>
    <w:rsid w:val="00745B88"/>
    <w:rsid w:val="007956E3"/>
    <w:rsid w:val="007A2FDE"/>
    <w:rsid w:val="007A66F9"/>
    <w:rsid w:val="007B276C"/>
    <w:rsid w:val="007C28A2"/>
    <w:rsid w:val="007E034F"/>
    <w:rsid w:val="007E575F"/>
    <w:rsid w:val="007F7FA7"/>
    <w:rsid w:val="0082191F"/>
    <w:rsid w:val="008230BE"/>
    <w:rsid w:val="0082748B"/>
    <w:rsid w:val="00840DCC"/>
    <w:rsid w:val="0084299E"/>
    <w:rsid w:val="00843E1E"/>
    <w:rsid w:val="0085207A"/>
    <w:rsid w:val="008844C4"/>
    <w:rsid w:val="00886806"/>
    <w:rsid w:val="008A0E6C"/>
    <w:rsid w:val="008A1DD7"/>
    <w:rsid w:val="008E71E6"/>
    <w:rsid w:val="008F7185"/>
    <w:rsid w:val="009033C8"/>
    <w:rsid w:val="00950BAA"/>
    <w:rsid w:val="00960920"/>
    <w:rsid w:val="009669AC"/>
    <w:rsid w:val="00981CCD"/>
    <w:rsid w:val="00992626"/>
    <w:rsid w:val="009A009C"/>
    <w:rsid w:val="009A3D42"/>
    <w:rsid w:val="009D4F2C"/>
    <w:rsid w:val="009E0ADF"/>
    <w:rsid w:val="009E2B99"/>
    <w:rsid w:val="009E305D"/>
    <w:rsid w:val="00A06A07"/>
    <w:rsid w:val="00A149B1"/>
    <w:rsid w:val="00A232A0"/>
    <w:rsid w:val="00A30BFB"/>
    <w:rsid w:val="00A61D0C"/>
    <w:rsid w:val="00A73939"/>
    <w:rsid w:val="00A76867"/>
    <w:rsid w:val="00AB2D57"/>
    <w:rsid w:val="00AC4794"/>
    <w:rsid w:val="00AD2ED4"/>
    <w:rsid w:val="00AD2EF0"/>
    <w:rsid w:val="00AF6BAA"/>
    <w:rsid w:val="00AF730D"/>
    <w:rsid w:val="00B307EB"/>
    <w:rsid w:val="00B340F6"/>
    <w:rsid w:val="00B62C1F"/>
    <w:rsid w:val="00B81A13"/>
    <w:rsid w:val="00B9320F"/>
    <w:rsid w:val="00BB1EF0"/>
    <w:rsid w:val="00BE16CF"/>
    <w:rsid w:val="00C05673"/>
    <w:rsid w:val="00C10E86"/>
    <w:rsid w:val="00C258ED"/>
    <w:rsid w:val="00C33F41"/>
    <w:rsid w:val="00C3655B"/>
    <w:rsid w:val="00C435E9"/>
    <w:rsid w:val="00C747B8"/>
    <w:rsid w:val="00C96D95"/>
    <w:rsid w:val="00CA4036"/>
    <w:rsid w:val="00CD23B0"/>
    <w:rsid w:val="00CF048F"/>
    <w:rsid w:val="00D05254"/>
    <w:rsid w:val="00D10979"/>
    <w:rsid w:val="00D150F5"/>
    <w:rsid w:val="00D43D4E"/>
    <w:rsid w:val="00D747D1"/>
    <w:rsid w:val="00D87AC2"/>
    <w:rsid w:val="00DA631E"/>
    <w:rsid w:val="00DA7AF5"/>
    <w:rsid w:val="00DC5EF0"/>
    <w:rsid w:val="00DE1BDC"/>
    <w:rsid w:val="00DE2B45"/>
    <w:rsid w:val="00E211DE"/>
    <w:rsid w:val="00E21726"/>
    <w:rsid w:val="00E250E1"/>
    <w:rsid w:val="00E45576"/>
    <w:rsid w:val="00E46CC9"/>
    <w:rsid w:val="00E85605"/>
    <w:rsid w:val="00EA1042"/>
    <w:rsid w:val="00EC1041"/>
    <w:rsid w:val="00EC5F5D"/>
    <w:rsid w:val="00F000D4"/>
    <w:rsid w:val="00F13CD0"/>
    <w:rsid w:val="00F226BD"/>
    <w:rsid w:val="00F2320E"/>
    <w:rsid w:val="00F265C2"/>
    <w:rsid w:val="00F430BF"/>
    <w:rsid w:val="00F456B3"/>
    <w:rsid w:val="00F80ABA"/>
    <w:rsid w:val="00F82D0B"/>
    <w:rsid w:val="00F90024"/>
    <w:rsid w:val="00FC1111"/>
    <w:rsid w:val="00FC1BC7"/>
    <w:rsid w:val="00FC6139"/>
    <w:rsid w:val="00FD57D0"/>
    <w:rsid w:val="00FF4AC9"/>
    <w:rsid w:val="06436F27"/>
    <w:rsid w:val="0FF59C57"/>
    <w:rsid w:val="246BA2EE"/>
    <w:rsid w:val="5239E138"/>
    <w:rsid w:val="54F312CD"/>
    <w:rsid w:val="63C06C8A"/>
    <w:rsid w:val="6F8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EC21"/>
  <w15:chartTrackingRefBased/>
  <w15:docId w15:val="{27F9E4DE-85A7-41B9-9EF1-C409C3B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5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7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C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8B"/>
  </w:style>
  <w:style w:type="paragraph" w:styleId="Footer">
    <w:name w:val="footer"/>
    <w:basedOn w:val="Normal"/>
    <w:link w:val="FooterChar"/>
    <w:uiPriority w:val="99"/>
    <w:unhideWhenUsed/>
    <w:rsid w:val="002A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8B"/>
  </w:style>
  <w:style w:type="character" w:styleId="CommentReference">
    <w:name w:val="annotation reference"/>
    <w:basedOn w:val="DefaultParagraphFont"/>
    <w:uiPriority w:val="99"/>
    <w:semiHidden/>
    <w:unhideWhenUsed/>
    <w:rsid w:val="002A4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C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ty4teenvax.org/aiaw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y4teenvax.org/en-espano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dolescenthealth.org/advocacy/position-papers/" TargetMode="External"/><Relationship Id="rId2" Type="http://schemas.openxmlformats.org/officeDocument/2006/relationships/hyperlink" Target="https://www.aafp.org/family-physician/patient-care/prevention-wellness/immunizations-vaccines.html" TargetMode="External"/><Relationship Id="rId1" Type="http://schemas.openxmlformats.org/officeDocument/2006/relationships/hyperlink" Target="https://www.aap.org/en/patient-care/immuniz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Huamani</dc:creator>
  <cp:keywords/>
  <dc:description/>
  <cp:lastModifiedBy>Kim Wolfe</cp:lastModifiedBy>
  <cp:revision>15</cp:revision>
  <cp:lastPrinted>2024-01-05T20:16:00Z</cp:lastPrinted>
  <dcterms:created xsi:type="dcterms:W3CDTF">2024-02-01T17:56:00Z</dcterms:created>
  <dcterms:modified xsi:type="dcterms:W3CDTF">2024-02-02T21:25:00Z</dcterms:modified>
</cp:coreProperties>
</file>